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982CA6">
      <w:pPr>
        <w:pStyle w:val="Style-1"/>
        <w:widowControl/>
        <w:spacing w:line="276" w:lineRule="auto"/>
        <w:rPr>
          <w:lang w:val="en-US"/>
        </w:rPr>
      </w:pPr>
      <w:bookmarkStart w:id="0" w:name="_GoBack"/>
      <w:bookmarkEnd w:id="0"/>
      <w:r>
        <w:rPr>
          <w:rFonts w:ascii="Arial" w:hAnsi="Arial" w:cs="Arial"/>
          <w:color w:val="000000"/>
          <w:sz w:val="28"/>
          <w:szCs w:val="28"/>
          <w:u w:val="single"/>
          <w:lang w:val="en-US"/>
        </w:rPr>
        <w:t>Data reporting Template</w:t>
      </w:r>
      <w:r w:rsidR="0020549D">
        <w:rPr>
          <w:rFonts w:ascii="Arial" w:hAnsi="Arial" w:cs="Arial"/>
          <w:color w:val="000000"/>
          <w:sz w:val="28"/>
          <w:szCs w:val="28"/>
          <w:u w:val="single"/>
          <w:lang w:val="en-US"/>
        </w:rPr>
        <w:t xml:space="preserve"> (Information) for LA-ICP-MS U-Th-Pb data</w:t>
      </w:r>
    </w:p>
    <w:p w:rsidR="00A77B3E" w:rsidRDefault="00A77B3E">
      <w:pPr>
        <w:pStyle w:val="Style-2"/>
        <w:widowControl/>
        <w:spacing w:line="276" w:lineRule="auto"/>
        <w:rPr>
          <w:lang w:val="en-US"/>
        </w:rPr>
      </w:pPr>
    </w:p>
    <w:tbl>
      <w:tblPr>
        <w:tblW w:w="8927" w:type="dxa"/>
        <w:tblLayout w:type="fixed"/>
        <w:tblLook w:val="0000" w:firstRow="0" w:lastRow="0" w:firstColumn="0" w:lastColumn="0" w:noHBand="0" w:noVBand="0"/>
      </w:tblPr>
      <w:tblGrid>
        <w:gridCol w:w="2242"/>
        <w:gridCol w:w="6685"/>
      </w:tblGrid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3"/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Laboratory &amp; Sample Preparation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2"/>
              <w:widowControl/>
              <w:rPr>
                <w:lang w:val="en-US"/>
              </w:rPr>
            </w:pPr>
          </w:p>
        </w:tc>
      </w:tr>
      <w:tr w:rsidR="00A2640C" w:rsidTr="00A2640C">
        <w:trPr>
          <w:trHeight w:val="341"/>
        </w:trPr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Laboratory name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Dept of Earth Science, University of Everywhere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Sample type/mineral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Detrital zircons 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Sample preparation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Conventional mineral separation, 1 inch resin mount, 1</w:t>
            </w:r>
            <w:r w:rsidRPr="0086725F">
              <w:rPr>
                <w:rFonts w:ascii="Symbol" w:hAnsi="Symbol"/>
                <w:sz w:val="24"/>
                <w:szCs w:val="24"/>
              </w:rPr>
              <w:t></w:t>
            </w:r>
            <w:r>
              <w:rPr>
                <w:color w:val="000000"/>
                <w:sz w:val="24"/>
                <w:szCs w:val="24"/>
                <w:lang w:val="en-US"/>
              </w:rPr>
              <w:t>m polish to finish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Imaging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CL, FEI Quanta600, 10nA, 17mm working distance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3"/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Laser ablation system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2"/>
              <w:widowControl/>
              <w:rPr>
                <w:lang w:val="en-US"/>
              </w:rPr>
            </w:pP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Make, Model &amp; type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ESI/New Wave Research, UP193FX 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Ablation cell &amp; volume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In-house built low volume cell, volume ca. 4 cm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3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Laser wavelength (nm)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193 nm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Pulse width (ns)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 ns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Fluence (J.cm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-2</w:t>
            </w:r>
            <w:r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2.5 J.cm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-2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Repetition rate (Hz)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 Hz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Ablation duration (secs)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40 secs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Ablation pit depth / ablation rate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16</w:t>
            </w:r>
            <w:r w:rsidRPr="0086725F">
              <w:rPr>
                <w:rFonts w:ascii="Symbol" w:hAnsi="Symbol"/>
                <w:sz w:val="24"/>
                <w:szCs w:val="24"/>
              </w:rPr>
              <w:t></w:t>
            </w:r>
            <w:r>
              <w:rPr>
                <w:color w:val="000000"/>
                <w:sz w:val="24"/>
                <w:szCs w:val="24"/>
                <w:lang w:val="en-US"/>
              </w:rPr>
              <w:t>m pit depth, measured using an optical microscope, SEM and interferometry, equivalent to 0.08</w:t>
            </w:r>
            <w:r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</w:t>
            </w:r>
            <w:r>
              <w:rPr>
                <w:color w:val="000000"/>
                <w:sz w:val="24"/>
                <w:szCs w:val="24"/>
                <w:lang w:val="en-US"/>
              </w:rPr>
              <w:t>m/pulse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Spot diameter (</w:t>
            </w:r>
            <w:r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</w:t>
            </w:r>
            <w:r>
              <w:rPr>
                <w:color w:val="000000"/>
                <w:sz w:val="24"/>
                <w:szCs w:val="24"/>
                <w:lang w:val="en-US"/>
              </w:rPr>
              <w:t>m) nominal/actual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25 </w:t>
            </w:r>
            <w:r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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m / 32 </w:t>
            </w:r>
            <w:r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</w:t>
            </w:r>
            <w:r>
              <w:rPr>
                <w:color w:val="000000"/>
                <w:sz w:val="24"/>
                <w:szCs w:val="24"/>
                <w:lang w:val="en-US"/>
              </w:rPr>
              <w:t>m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Sampling mode / pattern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Static spot ablation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Carrier gas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100% He in the cell, Ar make-up gas combined using a Y-piece 50% along the sample transport line to the torch.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Cell carrier gas flow (l/min)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0.8l/min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3"/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ICP-MS Instrument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2"/>
              <w:widowControl/>
              <w:rPr>
                <w:lang w:val="en-US"/>
              </w:rPr>
            </w:pP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Make, Model &amp; type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>Nu Instruments, Nu Plasma HR, MC-ICP-MS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Sample introduction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Ablation aerosol combined with co-aspiration of desolvated Tl-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235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U tracer 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RF power (W)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1300W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Make-up gas flow (l/min)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Sourced from Nu Instruments DSN-100 desolvating nebulizer. Neb pressure 24psi (estimated at 0.7l/min) Ar.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Detection system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mixed Faraday-multiple ion counting array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Masses measured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202-207, 235, 238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Integration time per peak/dwell times (ms); quadrupole settling time </w:t>
            </w: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between mass jumps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200ms for each isotope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Total integration time per output datapoint (secs)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~1.2secs</w:t>
            </w:r>
          </w:p>
          <w:p w:rsidR="00A2640C" w:rsidRDefault="00A2640C" w:rsidP="00A2640C">
            <w:pPr>
              <w:pStyle w:val="Style-3"/>
              <w:widowControl/>
              <w:rPr>
                <w:i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000000"/>
                <w:sz w:val="24"/>
                <w:szCs w:val="24"/>
                <w:lang w:val="en-US"/>
              </w:rPr>
              <w:t>(N.B. this should represent the time resolution of the data)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‘Sensitivity’ as useful yield (%, element)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0.4% U </w:t>
            </w:r>
          </w:p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((#ions detected/#atoms sampled)*100; Schaltegger </w:t>
            </w:r>
            <w:r w:rsidRPr="001F23F1">
              <w:rPr>
                <w:i/>
                <w:color w:val="000000"/>
                <w:sz w:val="24"/>
                <w:szCs w:val="24"/>
                <w:lang w:val="en-US"/>
              </w:rPr>
              <w:t>et al.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2015)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IC Dead time (ns)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6, 9 &amp; 7 ns IC0, IC1 &amp; IC2 resp.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3"/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Data Processing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2"/>
              <w:widowControl/>
              <w:rPr>
                <w:lang w:val="en-US"/>
              </w:rPr>
            </w:pP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Gas blank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30 second on-peak zero subtracted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Calibration strategy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91500 used as primary reference material, Plesovice &amp; GJ1 used as secondaries/validation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Reference Material info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91500 (Wiedenbeck </w:t>
            </w:r>
            <w:r w:rsidRPr="00CE1CA5">
              <w:rPr>
                <w:color w:val="000000"/>
                <w:sz w:val="24"/>
                <w:szCs w:val="24"/>
                <w:lang w:val="fr-FR"/>
              </w:rPr>
              <w:t>et al.</w:t>
            </w:r>
            <w:r>
              <w:rPr>
                <w:color w:val="000000"/>
                <w:sz w:val="24"/>
                <w:szCs w:val="24"/>
                <w:lang w:val="fr-FR"/>
              </w:rPr>
              <w:t xml:space="preserve"> 1995)</w:t>
            </w:r>
          </w:p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fr-FR"/>
              </w:rPr>
            </w:pPr>
            <w:r>
              <w:rPr>
                <w:color w:val="000000"/>
                <w:sz w:val="24"/>
                <w:szCs w:val="24"/>
                <w:lang w:val="fr-FR"/>
              </w:rPr>
              <w:t xml:space="preserve">Plesovice (Slama </w:t>
            </w:r>
            <w:r w:rsidRPr="00CE1CA5">
              <w:rPr>
                <w:color w:val="000000"/>
                <w:sz w:val="24"/>
                <w:szCs w:val="24"/>
                <w:lang w:val="fr-FR"/>
              </w:rPr>
              <w:t>et al.</w:t>
            </w:r>
            <w:r>
              <w:rPr>
                <w:color w:val="000000"/>
                <w:sz w:val="24"/>
                <w:szCs w:val="24"/>
                <w:lang w:val="fr-FR"/>
              </w:rPr>
              <w:t xml:space="preserve"> 2008)</w:t>
            </w:r>
          </w:p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GJ1 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206</w:t>
            </w:r>
            <w:r>
              <w:rPr>
                <w:color w:val="000000"/>
                <w:sz w:val="24"/>
                <w:szCs w:val="24"/>
                <w:lang w:val="en-US"/>
              </w:rPr>
              <w:t>Pb/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238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U 0.097877 ± 0.07%, 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207</w:t>
            </w:r>
            <w:r>
              <w:rPr>
                <w:color w:val="000000"/>
                <w:sz w:val="24"/>
                <w:szCs w:val="24"/>
                <w:lang w:val="en-US"/>
              </w:rPr>
              <w:t>Pb/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206</w:t>
            </w:r>
            <w:r>
              <w:rPr>
                <w:color w:val="000000"/>
                <w:sz w:val="24"/>
                <w:szCs w:val="24"/>
                <w:lang w:val="en-US"/>
              </w:rPr>
              <w:t>Pb 0.060171 ± 0.08% (in-house CA-TIMS, this study)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Data processing package used / Correction for LIEF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Pr="00A152A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Nu Instruments Nu Plasma TRA software and in-house spreadsheet for data normalization, uncertainty propagation and age calculation. LIEF correction assumes reference material and samples behave identically.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Mass discrimination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Tl-U tracer solution used for initial mass bias correction with 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207</w:t>
            </w:r>
            <w:r>
              <w:rPr>
                <w:color w:val="000000"/>
                <w:sz w:val="24"/>
                <w:szCs w:val="24"/>
                <w:lang w:val="en-US"/>
              </w:rPr>
              <w:t>Pb/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206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Pb and 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206</w:t>
            </w:r>
            <w:r>
              <w:rPr>
                <w:color w:val="000000"/>
                <w:sz w:val="24"/>
                <w:szCs w:val="24"/>
                <w:lang w:val="en-US"/>
              </w:rPr>
              <w:t>Pb/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238</w:t>
            </w:r>
            <w:r>
              <w:rPr>
                <w:color w:val="000000"/>
                <w:sz w:val="24"/>
                <w:szCs w:val="24"/>
                <w:lang w:val="en-US"/>
              </w:rPr>
              <w:t>U additionally normalised to reference material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Common-Pb correction, composition and uncertainty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No common-Pb correction applied to the data.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Uncertainty level &amp; propagation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3D45F7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Ages are quoted at 2</w:t>
            </w:r>
            <w:r w:rsidR="003D45F7" w:rsidRPr="003D45F7">
              <w:rPr>
                <w:rFonts w:asciiTheme="minorHAnsi" w:hAnsiTheme="minorHAnsi"/>
                <w:i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absolute, propagation is by quadratic addition. Reproducibility and age uncertainty of reference material and common-Pb composition uncertainty are propagated where appropriate.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Quality control / Validation</w:t>
            </w: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Plesovice – Wtd ave 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206</w:t>
            </w:r>
            <w:r>
              <w:rPr>
                <w:color w:val="000000"/>
                <w:sz w:val="24"/>
                <w:szCs w:val="24"/>
                <w:lang w:val="en-US"/>
              </w:rPr>
              <w:t>Pb/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238</w:t>
            </w:r>
            <w:r>
              <w:rPr>
                <w:color w:val="000000"/>
                <w:sz w:val="24"/>
                <w:szCs w:val="24"/>
                <w:lang w:val="en-US"/>
              </w:rPr>
              <w:t>U age = 338 ± 3 (2</w:t>
            </w:r>
            <w:r w:rsidR="003D45F7" w:rsidRPr="003D45F7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lang w:val="en-US"/>
              </w:rPr>
              <w:t>, MSWD = 0.9, n=8)</w:t>
            </w:r>
          </w:p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 xml:space="preserve">GJ-1 – Wtd ave 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206</w:t>
            </w:r>
            <w:r>
              <w:rPr>
                <w:color w:val="000000"/>
                <w:sz w:val="24"/>
                <w:szCs w:val="24"/>
                <w:lang w:val="en-US"/>
              </w:rPr>
              <w:t>Pb/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238</w:t>
            </w:r>
            <w:r>
              <w:rPr>
                <w:color w:val="000000"/>
                <w:sz w:val="24"/>
                <w:szCs w:val="24"/>
                <w:lang w:val="en-US"/>
              </w:rPr>
              <w:t>U age = 602 ± 5 (2</w:t>
            </w:r>
            <w:r w:rsidR="003D45F7" w:rsidRPr="003D45F7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lang w:val="en-US"/>
              </w:rPr>
              <w:t>, MSWD = 1.1, n=7)</w:t>
            </w:r>
          </w:p>
          <w:p w:rsidR="00A2640C" w:rsidRDefault="00A2640C" w:rsidP="00A2640C">
            <w:pPr>
              <w:pStyle w:val="Style-3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Systematic uncertainty for propagation is 2% (2</w:t>
            </w:r>
            <w:r w:rsidR="003D45F7" w:rsidRPr="003D45F7">
              <w:rPr>
                <w:rFonts w:ascii="Calibri" w:hAnsi="Calibri"/>
                <w:i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  <w:lang w:val="en-US"/>
              </w:rPr>
              <w:t>).</w:t>
            </w:r>
          </w:p>
        </w:tc>
      </w:tr>
      <w:tr w:rsidR="00A2640C" w:rsidTr="00A2640C">
        <w:tc>
          <w:tcPr>
            <w:tcW w:w="2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3"/>
              <w:widowControl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Other information</w:t>
            </w:r>
          </w:p>
          <w:p w:rsidR="00A2640C" w:rsidRDefault="00A2640C" w:rsidP="00A2640C">
            <w:pPr>
              <w:pStyle w:val="Style-3"/>
              <w:widowControl/>
              <w:rPr>
                <w:lang w:val="en-US"/>
              </w:rPr>
            </w:pPr>
          </w:p>
          <w:p w:rsidR="00A2640C" w:rsidRDefault="00A2640C" w:rsidP="00A2640C">
            <w:pPr>
              <w:pStyle w:val="Style-3"/>
              <w:widowControl/>
              <w:rPr>
                <w:lang w:val="en-US"/>
              </w:rPr>
            </w:pPr>
          </w:p>
          <w:p w:rsidR="00A2640C" w:rsidRDefault="00A2640C" w:rsidP="00A2640C">
            <w:pPr>
              <w:pStyle w:val="Style-3"/>
              <w:widowControl/>
              <w:rPr>
                <w:lang w:val="en-US"/>
              </w:rPr>
            </w:pPr>
          </w:p>
        </w:tc>
        <w:tc>
          <w:tcPr>
            <w:tcW w:w="6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A2640C" w:rsidRDefault="00A2640C" w:rsidP="00A2640C">
            <w:pPr>
              <w:pStyle w:val="Style-2"/>
              <w:widowControl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Depth profiling and single-pulse ablation studies used a low-volume ablation cell, sample line of 3 m from ablation cell to torch and a 20 sec wait time between ablations. Cell washout time was ca. 0.8 secs to 1% of peak signal.</w:t>
            </w:r>
          </w:p>
        </w:tc>
      </w:tr>
    </w:tbl>
    <w:p w:rsidR="00A77B3E" w:rsidRDefault="00A77B3E">
      <w:pPr>
        <w:pStyle w:val="Style-3"/>
        <w:widowControl/>
        <w:rPr>
          <w:lang w:val="en-US"/>
        </w:rPr>
      </w:pPr>
    </w:p>
    <w:p w:rsidR="00A77B3E" w:rsidRDefault="00A77B3E">
      <w:pPr>
        <w:pStyle w:val="Style-3"/>
        <w:widowControl/>
        <w:rPr>
          <w:lang w:val="en-US"/>
        </w:rPr>
      </w:pPr>
    </w:p>
    <w:p w:rsidR="00A77B3E" w:rsidRDefault="00A77B3E">
      <w:pPr>
        <w:pStyle w:val="Style-4"/>
        <w:widowControl/>
        <w:spacing w:after="200" w:line="276" w:lineRule="auto"/>
        <w:rPr>
          <w:lang w:val="en-US"/>
        </w:rPr>
      </w:pPr>
    </w:p>
    <w:sectPr w:rsidR="00A77B3E">
      <w:pgSz w:w="11906" w:h="16838"/>
      <w:pgMar w:top="1440" w:right="1800" w:bottom="1440" w:left="1800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doNotValidateAgainstSchema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549D"/>
    <w:rsid w:val="00157D39"/>
    <w:rsid w:val="001F23F1"/>
    <w:rsid w:val="0020549D"/>
    <w:rsid w:val="0031644D"/>
    <w:rsid w:val="003D45F7"/>
    <w:rsid w:val="00602E59"/>
    <w:rsid w:val="0086725F"/>
    <w:rsid w:val="00982CA6"/>
    <w:rsid w:val="00A103BF"/>
    <w:rsid w:val="00A152AC"/>
    <w:rsid w:val="00A2640C"/>
    <w:rsid w:val="00A77B3E"/>
    <w:rsid w:val="00CE1CA5"/>
    <w:rsid w:val="00E7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-2">
    <w:name w:val="Style-2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-3">
    <w:name w:val="Style-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Style-4">
    <w:name w:val="Style-4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reporting Table (Information) for LA-ICP-MS U-Th-Pb data</vt:lpstr>
    </vt:vector>
  </TitlesOfParts>
  <Company>The British Geological Survey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reporting Table (Information) for LA-ICP-MS U-Th-Pb data</dc:title>
  <dc:creator>Horstwood, Matthew S.A.</dc:creator>
  <cp:lastModifiedBy>Horstwood, Matthew S.A.</cp:lastModifiedBy>
  <cp:revision>2</cp:revision>
  <dcterms:created xsi:type="dcterms:W3CDTF">2016-01-20T18:59:00Z</dcterms:created>
  <dcterms:modified xsi:type="dcterms:W3CDTF">2016-01-20T18:59:00Z</dcterms:modified>
</cp:coreProperties>
</file>